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C0246E" w:rsidRDefault="00F92268" w:rsidP="00850792">
      <w:pPr>
        <w:pStyle w:val="BodyText"/>
        <w:rPr>
          <w:sz w:val="6"/>
          <w:szCs w:val="6"/>
        </w:rPr>
      </w:pPr>
      <w:r w:rsidRPr="00C0246E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2F7141" w:rsidRPr="00C0246E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0246E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C0246E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2F7141" w:rsidRPr="00C0246E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CC49FBC" w:rsidR="00F92268" w:rsidRPr="00C0246E" w:rsidRDefault="00707D47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C0246E">
              <w:rPr>
                <w:rFonts w:cs="Arial"/>
                <w:sz w:val="16"/>
                <w:szCs w:val="16"/>
              </w:rPr>
              <w:t>3677-A</w:t>
            </w:r>
            <w:r w:rsidR="00396BF2">
              <w:rPr>
                <w:rFonts w:cs="Arial"/>
                <w:sz w:val="16"/>
                <w:szCs w:val="16"/>
              </w:rPr>
              <w:t xml:space="preserve">, </w:t>
            </w:r>
            <w:r w:rsidR="004E6B78">
              <w:rPr>
                <w:rFonts w:cs="Arial"/>
                <w:sz w:val="16"/>
                <w:szCs w:val="16"/>
              </w:rPr>
              <w:t>6975</w:t>
            </w:r>
            <w:r w:rsidR="00396BF2">
              <w:rPr>
                <w:rFonts w:cs="Arial"/>
                <w:sz w:val="16"/>
                <w:szCs w:val="16"/>
              </w:rPr>
              <w:t>-A</w:t>
            </w:r>
          </w:p>
        </w:tc>
      </w:tr>
    </w:tbl>
    <w:p w14:paraId="4F3BF29B" w14:textId="3B1B652C" w:rsidR="00A12603" w:rsidRPr="00C0246E" w:rsidRDefault="006C7CE1" w:rsidP="00F14997">
      <w:pPr>
        <w:pStyle w:val="Heading1"/>
        <w:rPr>
          <w:rFonts w:cs="Arial"/>
        </w:rPr>
      </w:pPr>
      <w:r w:rsidRPr="00C0246E">
        <w:t>Specialty Guideline Management</w:t>
      </w:r>
      <w:r w:rsidR="00A12603" w:rsidRPr="00C0246E">
        <w:br/>
      </w:r>
      <w:r w:rsidR="00CC5A1F" w:rsidRPr="00CC5A1F">
        <w:rPr>
          <w:rFonts w:cs="Arial"/>
        </w:rPr>
        <w:t>sodium oxybate</w:t>
      </w:r>
      <w:r w:rsidR="00F14997">
        <w:rPr>
          <w:rFonts w:cs="Arial"/>
        </w:rPr>
        <w:t>-Lumryz-</w:t>
      </w:r>
      <w:r w:rsidR="00A12603" w:rsidRPr="00C0246E">
        <w:rPr>
          <w:rFonts w:cs="Arial"/>
        </w:rPr>
        <w:t>X</w:t>
      </w:r>
      <w:r w:rsidR="006E561C" w:rsidRPr="00C0246E">
        <w:rPr>
          <w:rFonts w:cs="Arial"/>
        </w:rPr>
        <w:t>yrem</w:t>
      </w:r>
    </w:p>
    <w:p w14:paraId="78861C92" w14:textId="59D2BE12" w:rsidR="00203468" w:rsidRPr="00C0246E" w:rsidRDefault="00C64534" w:rsidP="008E0F0D">
      <w:pPr>
        <w:pStyle w:val="Heading2"/>
      </w:pPr>
      <w:r w:rsidRPr="00C0246E">
        <w:t xml:space="preserve">Products Referenced by this </w:t>
      </w:r>
      <w:r w:rsidR="00501602" w:rsidRPr="00C0246E">
        <w:t>Document</w:t>
      </w:r>
    </w:p>
    <w:p w14:paraId="5455152B" w14:textId="0BB1DD34" w:rsidR="008E0F0D" w:rsidRPr="00C0246E" w:rsidRDefault="00D82D85" w:rsidP="008B73E8">
      <w:pPr>
        <w:pStyle w:val="BodyText"/>
      </w:pPr>
      <w:r w:rsidRPr="00C0246E">
        <w:t xml:space="preserve">Drugs that are listed in the </w:t>
      </w:r>
      <w:r w:rsidR="000315F1" w:rsidRPr="00C0246E">
        <w:t>following table</w:t>
      </w:r>
      <w:r w:rsidRPr="00C0246E">
        <w:t xml:space="preserve"> include both brand and generic and all dosage forms and strengths unless otherwise stated. </w:t>
      </w:r>
      <w:r w:rsidR="006C56BD">
        <w:t>Over-the-counter (</w:t>
      </w:r>
      <w:r w:rsidRPr="00C0246E">
        <w:t>OTC</w:t>
      </w:r>
      <w:r w:rsidR="006C56BD">
        <w:t>)</w:t>
      </w:r>
      <w:r w:rsidRPr="00C0246E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C0246E" w14:paraId="158421F8" w14:textId="77777777" w:rsidTr="00EB7498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C0246E" w:rsidRDefault="00252CE1" w:rsidP="00EB7498">
            <w:pPr>
              <w:pStyle w:val="TableHeader"/>
              <w:spacing w:after="0"/>
            </w:pPr>
            <w:bookmarkStart w:id="0" w:name="_Hlk159603270"/>
            <w:r w:rsidRPr="00C0246E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C0246E" w:rsidRDefault="00252CE1" w:rsidP="00EB7498">
            <w:pPr>
              <w:pStyle w:val="TableHeader"/>
              <w:spacing w:after="0"/>
            </w:pPr>
            <w:r w:rsidRPr="00C0246E">
              <w:t>Generic Name</w:t>
            </w:r>
          </w:p>
        </w:tc>
      </w:tr>
      <w:tr w:rsidR="00585FFF" w:rsidRPr="00C0246E" w14:paraId="2AD5C02D" w14:textId="77777777" w:rsidTr="00EB7498">
        <w:trPr>
          <w:cantSplit/>
        </w:trPr>
        <w:tc>
          <w:tcPr>
            <w:tcW w:w="5265" w:type="dxa"/>
          </w:tcPr>
          <w:p w14:paraId="2D8FA8E3" w14:textId="189B39FE" w:rsidR="00585FFF" w:rsidRPr="00C0246E" w:rsidRDefault="006C7CE1" w:rsidP="00E82ABA">
            <w:pPr>
              <w:pStyle w:val="TableDataUnpadded"/>
            </w:pPr>
            <w:r w:rsidRPr="00C0246E">
              <w:t>Xyrem</w:t>
            </w:r>
          </w:p>
        </w:tc>
        <w:tc>
          <w:tcPr>
            <w:tcW w:w="5595" w:type="dxa"/>
          </w:tcPr>
          <w:p w14:paraId="7E26A004" w14:textId="66788E13" w:rsidR="00585FFF" w:rsidRPr="00C0246E" w:rsidRDefault="006C7CE1" w:rsidP="00E82ABA">
            <w:pPr>
              <w:pStyle w:val="TableDataUnpadded"/>
            </w:pPr>
            <w:r w:rsidRPr="00C0246E">
              <w:t>sodium oxybate</w:t>
            </w:r>
          </w:p>
        </w:tc>
      </w:tr>
      <w:tr w:rsidR="00D21D0C" w:rsidRPr="00C0246E" w14:paraId="79C2A122" w14:textId="77777777" w:rsidTr="00EB7498">
        <w:trPr>
          <w:cantSplit/>
        </w:trPr>
        <w:tc>
          <w:tcPr>
            <w:tcW w:w="5265" w:type="dxa"/>
          </w:tcPr>
          <w:p w14:paraId="08001603" w14:textId="781C686F" w:rsidR="00D21D0C" w:rsidRPr="00C0246E" w:rsidRDefault="006C7CE1" w:rsidP="00E82ABA">
            <w:pPr>
              <w:pStyle w:val="TableDataUnpadded"/>
            </w:pPr>
            <w:r w:rsidRPr="00C0246E">
              <w:t>Lumryz</w:t>
            </w:r>
          </w:p>
        </w:tc>
        <w:tc>
          <w:tcPr>
            <w:tcW w:w="5595" w:type="dxa"/>
          </w:tcPr>
          <w:p w14:paraId="26C54A5D" w14:textId="5194B904" w:rsidR="00D21D0C" w:rsidRPr="00C0246E" w:rsidRDefault="006C7CE1" w:rsidP="00E82ABA">
            <w:pPr>
              <w:pStyle w:val="TableDataUnpadded"/>
            </w:pPr>
            <w:r w:rsidRPr="00C0246E">
              <w:t>sodium oxybate</w:t>
            </w:r>
          </w:p>
        </w:tc>
      </w:tr>
    </w:tbl>
    <w:bookmarkEnd w:id="0"/>
    <w:p w14:paraId="14CE6108" w14:textId="2D64AE38" w:rsidR="00FC1AAD" w:rsidRPr="00C0246E" w:rsidRDefault="00ED052F" w:rsidP="00ED052F">
      <w:pPr>
        <w:pStyle w:val="Heading2"/>
      </w:pPr>
      <w:r w:rsidRPr="00C0246E">
        <w:t>Indications</w:t>
      </w:r>
    </w:p>
    <w:p w14:paraId="3C539BBD" w14:textId="05B98B4C" w:rsidR="006C7CE1" w:rsidRPr="00C0246E" w:rsidRDefault="006C7CE1" w:rsidP="006C7CE1">
      <w:pPr>
        <w:pStyle w:val="BodyText"/>
      </w:pPr>
      <w:r w:rsidRPr="00C0246E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F0A9A37" w:rsidR="00ED052F" w:rsidRPr="00015A60" w:rsidRDefault="00ED052F" w:rsidP="00ED052F">
      <w:pPr>
        <w:pStyle w:val="Heading3"/>
        <w:keepNext w:val="0"/>
        <w:rPr>
          <w:vertAlign w:val="superscript"/>
        </w:rPr>
      </w:pPr>
      <w:r w:rsidRPr="00C0246E">
        <w:t>FDA-</w:t>
      </w:r>
      <w:r w:rsidR="00C0246E" w:rsidRPr="00C0246E">
        <w:t>A</w:t>
      </w:r>
      <w:r w:rsidRPr="00C0246E">
        <w:t>pproved Indication</w:t>
      </w:r>
      <w:r w:rsidR="00F362AC">
        <w:t>s</w:t>
      </w:r>
      <w:r w:rsidR="00C66057">
        <w:rPr>
          <w:vertAlign w:val="superscript"/>
        </w:rPr>
        <w:t>1,4,5</w:t>
      </w:r>
    </w:p>
    <w:p w14:paraId="2EF842D4" w14:textId="4B142909" w:rsidR="006C7CE1" w:rsidRDefault="002F1925" w:rsidP="009C4703">
      <w:pPr>
        <w:pStyle w:val="BodyText"/>
      </w:pPr>
      <w:r>
        <w:t>T</w:t>
      </w:r>
      <w:r w:rsidR="006C7CE1" w:rsidRPr="00C0246E">
        <w:t>reatment of cataplexy or excessive daytime sleepiness (EDS) in patients 7 years of age and older with narcolepsy.</w:t>
      </w:r>
    </w:p>
    <w:p w14:paraId="20C0F6B2" w14:textId="6381C01F" w:rsidR="000B027D" w:rsidRDefault="006C7CE1" w:rsidP="006C7CE1">
      <w:pPr>
        <w:pStyle w:val="BodyText"/>
      </w:pPr>
      <w:r w:rsidRPr="00C0246E">
        <w:t>All other indications are considered experimental/investigational and not medically necessary.</w:t>
      </w:r>
    </w:p>
    <w:p w14:paraId="36381B6D" w14:textId="5435B142" w:rsidR="000D2496" w:rsidRPr="00C0246E" w:rsidRDefault="000D2496" w:rsidP="00ED126B">
      <w:pPr>
        <w:pStyle w:val="Heading2"/>
        <w:tabs>
          <w:tab w:val="left" w:pos="6480"/>
        </w:tabs>
      </w:pPr>
      <w:r w:rsidRPr="00C0246E">
        <w:t>Documentation</w:t>
      </w:r>
    </w:p>
    <w:p w14:paraId="1EBC2784" w14:textId="5A74D942" w:rsidR="006C7CE1" w:rsidRPr="00C0246E" w:rsidRDefault="006C7CE1" w:rsidP="006C7CE1">
      <w:pPr>
        <w:pStyle w:val="BodyText"/>
      </w:pPr>
      <w:r w:rsidRPr="00C0246E">
        <w:t xml:space="preserve">Submission of the following </w:t>
      </w:r>
      <w:r w:rsidR="008673E7">
        <w:t xml:space="preserve">information </w:t>
      </w:r>
      <w:r w:rsidRPr="00C0246E">
        <w:t>is necessary to initiate the prior authorization review:</w:t>
      </w:r>
    </w:p>
    <w:p w14:paraId="3344BEB5" w14:textId="37DB1600" w:rsidR="006C7CE1" w:rsidRPr="00C0246E" w:rsidRDefault="006C7CE1" w:rsidP="0083033F">
      <w:pPr>
        <w:pStyle w:val="Heading3"/>
      </w:pPr>
      <w:r w:rsidRPr="00C0246E">
        <w:t>For initial requests, all of the following (if applicable):</w:t>
      </w:r>
    </w:p>
    <w:p w14:paraId="6F54F1BB" w14:textId="2F0C5049" w:rsidR="006C7CE1" w:rsidRPr="00C0246E" w:rsidRDefault="006C7CE1" w:rsidP="0083033F">
      <w:pPr>
        <w:pStyle w:val="ListParagraph"/>
      </w:pPr>
      <w:r w:rsidRPr="00C0246E">
        <w:t>Documentation of a sleep lab evaluation.</w:t>
      </w:r>
    </w:p>
    <w:p w14:paraId="28CA73D1" w14:textId="7E585500" w:rsidR="006C7CE1" w:rsidRPr="00C0246E" w:rsidRDefault="006C7CE1" w:rsidP="0083033F">
      <w:pPr>
        <w:pStyle w:val="ListParagraph"/>
      </w:pPr>
      <w:r w:rsidRPr="00C0246E">
        <w:lastRenderedPageBreak/>
        <w:t>Chart notes, medical record documentation, or claims history supporting previous medications tried (if applicable), including response to therapy. If therapy is not advisable, documentation of clinical reason to avoid therapy.</w:t>
      </w:r>
    </w:p>
    <w:p w14:paraId="188497D1" w14:textId="4431BD0D" w:rsidR="005740F0" w:rsidRDefault="006C7CE1" w:rsidP="0083033F">
      <w:pPr>
        <w:pStyle w:val="Heading3"/>
      </w:pPr>
      <w:r w:rsidRPr="00C0246E">
        <w:t>For continuation requests,</w:t>
      </w:r>
      <w:r w:rsidR="00050040">
        <w:t xml:space="preserve"> </w:t>
      </w:r>
      <w:r w:rsidR="001803DD">
        <w:t>documentation to support one of the following:</w:t>
      </w:r>
    </w:p>
    <w:p w14:paraId="1BCD3C83" w14:textId="3CBD1236" w:rsidR="003C2A54" w:rsidRDefault="005740F0" w:rsidP="0083033F">
      <w:pPr>
        <w:pStyle w:val="ListParagraph"/>
      </w:pPr>
      <w:r>
        <w:t>For excessive daytime sleepiness with narcolepsy:</w:t>
      </w:r>
      <w:r w:rsidR="006C7CE1" w:rsidRPr="00C0246E">
        <w:t xml:space="preserve"> </w:t>
      </w:r>
      <w:r w:rsidR="00EA3D00">
        <w:t>C</w:t>
      </w:r>
      <w:r w:rsidR="006C7CE1" w:rsidRPr="00C0246E">
        <w:t xml:space="preserve">hart notes or medical record documentation supporting a beneficial response to therapy </w:t>
      </w:r>
      <w:r w:rsidR="007D2E21">
        <w:t>as demonstrated by a</w:t>
      </w:r>
      <w:r w:rsidR="006C7CE1" w:rsidRPr="00C0246E">
        <w:t xml:space="preserve"> decrease in daytime sleepiness</w:t>
      </w:r>
      <w:r w:rsidR="008162E8">
        <w:t xml:space="preserve"> with narcolepsy </w:t>
      </w:r>
      <w:r w:rsidR="003C2A54">
        <w:t>from baseline.</w:t>
      </w:r>
    </w:p>
    <w:p w14:paraId="5BDD4BC3" w14:textId="01A7A1D4" w:rsidR="006C7CE1" w:rsidRPr="00C0246E" w:rsidRDefault="003C2A54" w:rsidP="0083033F">
      <w:pPr>
        <w:pStyle w:val="ListParagraph"/>
      </w:pPr>
      <w:r>
        <w:t xml:space="preserve">For cataplexy with narcolepsy: </w:t>
      </w:r>
      <w:r w:rsidR="00EA3D00">
        <w:t>C</w:t>
      </w:r>
      <w:r>
        <w:t xml:space="preserve">hart notes or medical record documentation supporting a beneficial response </w:t>
      </w:r>
      <w:r w:rsidR="00A00546">
        <w:t>to therapy as demonstrated by a</w:t>
      </w:r>
      <w:r w:rsidR="006C7CE1" w:rsidRPr="00C0246E">
        <w:t xml:space="preserve"> decrease in cataplexy episodes from baseline.</w:t>
      </w:r>
    </w:p>
    <w:p w14:paraId="4A5B15F8" w14:textId="35135CC4" w:rsidR="00006174" w:rsidRPr="00C0246E" w:rsidRDefault="00006174" w:rsidP="00006174">
      <w:pPr>
        <w:pStyle w:val="Heading2"/>
      </w:pPr>
      <w:r w:rsidRPr="00C0246E">
        <w:t>Prescriber Specialties</w:t>
      </w:r>
    </w:p>
    <w:p w14:paraId="006CAA08" w14:textId="61E30408" w:rsidR="0086682D" w:rsidRPr="00C0246E" w:rsidRDefault="0086682D" w:rsidP="0086682D">
      <w:pPr>
        <w:pStyle w:val="BodyText"/>
      </w:pPr>
      <w:r w:rsidRPr="00C0246E">
        <w:t>This medication must be prescribed by or in consultation with a sleep specialist (e.g., neurologist experienced with sleep disorders, physician certified in sleep medicine).</w:t>
      </w:r>
    </w:p>
    <w:p w14:paraId="50A38FBA" w14:textId="69C6E940" w:rsidR="00FE0C63" w:rsidRPr="00C0246E" w:rsidRDefault="002F7141" w:rsidP="00E050E1">
      <w:pPr>
        <w:pStyle w:val="Heading2"/>
      </w:pPr>
      <w:r w:rsidRPr="00C0246E">
        <w:t>Coverage Criteria</w:t>
      </w:r>
    </w:p>
    <w:p w14:paraId="2E264F84" w14:textId="49C633A8" w:rsidR="0086682D" w:rsidRPr="00C0246E" w:rsidRDefault="0086682D" w:rsidP="0086682D">
      <w:pPr>
        <w:pStyle w:val="Heading3"/>
      </w:pPr>
      <w:r w:rsidRPr="00C0246E">
        <w:t>Excessive Daytime Sleepiness</w:t>
      </w:r>
      <w:r w:rsidR="005642B6">
        <w:t xml:space="preserve"> (EDS)</w:t>
      </w:r>
      <w:r w:rsidRPr="00C0246E">
        <w:t xml:space="preserve"> with </w:t>
      </w:r>
      <w:r w:rsidR="00140CB9" w:rsidRPr="00C0246E">
        <w:t>Narcolepsy</w:t>
      </w:r>
      <w:r w:rsidR="00140CB9">
        <w:rPr>
          <w:vertAlign w:val="superscript"/>
        </w:rPr>
        <w:t>1-7,10</w:t>
      </w:r>
    </w:p>
    <w:p w14:paraId="0EC54BF4" w14:textId="72F41BB4" w:rsidR="0086682D" w:rsidRPr="00C0246E" w:rsidRDefault="0086682D" w:rsidP="0086682D">
      <w:pPr>
        <w:pStyle w:val="BodyText"/>
      </w:pPr>
      <w:r w:rsidRPr="00C0246E">
        <w:t>Authorization of 12 months may be granted for treatment of excessive daytime sleepiness</w:t>
      </w:r>
      <w:r w:rsidR="0007611B">
        <w:t xml:space="preserve"> (EDS) with narcolepsy</w:t>
      </w:r>
      <w:r w:rsidRPr="00C0246E">
        <w:t xml:space="preserve"> when all of the following criteria are met:</w:t>
      </w:r>
    </w:p>
    <w:p w14:paraId="41FF90AE" w14:textId="17D6D2EA" w:rsidR="0086682D" w:rsidRPr="00C0246E" w:rsidRDefault="0086682D" w:rsidP="0081692B">
      <w:pPr>
        <w:pStyle w:val="ListParagraph"/>
        <w:ind w:right="0"/>
      </w:pPr>
      <w:r w:rsidRPr="00C0246E">
        <w:t xml:space="preserve">The diagnosis of narcolepsy is confirmed by a sleep lab evaluation. </w:t>
      </w:r>
    </w:p>
    <w:p w14:paraId="045E302B" w14:textId="1127868F" w:rsidR="0086682D" w:rsidRPr="00C0246E" w:rsidRDefault="0086682D" w:rsidP="0081692B">
      <w:pPr>
        <w:pStyle w:val="ListParagraph"/>
        <w:ind w:right="0"/>
      </w:pPr>
      <w:r w:rsidRPr="00C0246E">
        <w:t>Member meets one of the following:</w:t>
      </w:r>
    </w:p>
    <w:p w14:paraId="25E8D5B6" w14:textId="074A614D" w:rsidR="0086682D" w:rsidRPr="00C0246E" w:rsidRDefault="0086682D" w:rsidP="0081692B">
      <w:pPr>
        <w:pStyle w:val="ListParagraph"/>
        <w:numPr>
          <w:ilvl w:val="1"/>
          <w:numId w:val="21"/>
        </w:numPr>
        <w:ind w:left="1080" w:right="0"/>
      </w:pPr>
      <w:r w:rsidRPr="00C0246E">
        <w:t xml:space="preserve">Member is 7 years of age or older and less than 18 years of age and meets </w:t>
      </w:r>
      <w:r w:rsidR="00E367DE">
        <w:t>either</w:t>
      </w:r>
      <w:r w:rsidR="00E367DE" w:rsidRPr="00C0246E">
        <w:t xml:space="preserve"> </w:t>
      </w:r>
      <w:r w:rsidRPr="00C0246E">
        <w:t>of the following</w:t>
      </w:r>
      <w:r w:rsidR="008C575F">
        <w:t>:</w:t>
      </w:r>
    </w:p>
    <w:p w14:paraId="7883775C" w14:textId="45C8784C" w:rsidR="00707D47" w:rsidRPr="00C0246E" w:rsidRDefault="0086682D" w:rsidP="0081692B">
      <w:pPr>
        <w:pStyle w:val="ListParagraph"/>
        <w:numPr>
          <w:ilvl w:val="2"/>
          <w:numId w:val="21"/>
        </w:numPr>
        <w:ind w:left="1443" w:right="0"/>
      </w:pPr>
      <w:r w:rsidRPr="00C0246E">
        <w:t>The member has experienced an inadequate</w:t>
      </w:r>
      <w:r w:rsidR="00A26507">
        <w:t xml:space="preserve"> treatment</w:t>
      </w:r>
      <w:r w:rsidRPr="00C0246E">
        <w:t xml:space="preserve"> response or intolerance to at least one central nervous system (CNS) stimulant drug (e.g., amphetamine, dextroamphetamine,</w:t>
      </w:r>
      <w:r w:rsidR="00A423C8">
        <w:t xml:space="preserve"> </w:t>
      </w:r>
      <w:r w:rsidRPr="00C0246E">
        <w:t>methylphenidate).</w:t>
      </w:r>
    </w:p>
    <w:p w14:paraId="4227B1FA" w14:textId="6BE88607" w:rsidR="0086682D" w:rsidRPr="00C0246E" w:rsidRDefault="0086682D" w:rsidP="0081692B">
      <w:pPr>
        <w:pStyle w:val="ListParagraph"/>
        <w:numPr>
          <w:ilvl w:val="2"/>
          <w:numId w:val="21"/>
        </w:numPr>
        <w:ind w:left="1443" w:right="0"/>
      </w:pPr>
      <w:r w:rsidRPr="00C0246E">
        <w:t>The member has a</w:t>
      </w:r>
      <w:r w:rsidR="00E3710F">
        <w:t xml:space="preserve"> </w:t>
      </w:r>
      <w:r w:rsidR="00E3710F" w:rsidRPr="00C0246E">
        <w:t>contraindication</w:t>
      </w:r>
      <w:r w:rsidRPr="00C0246E">
        <w:t xml:space="preserve"> to at least one central nervous system (CNS) stimulant drug (e.g., amphetamine, dextroamphetamine, methylphenidate).</w:t>
      </w:r>
    </w:p>
    <w:p w14:paraId="07E3ADD9" w14:textId="4B83767A" w:rsidR="0086682D" w:rsidRPr="00C0246E" w:rsidRDefault="0086682D" w:rsidP="0081692B">
      <w:pPr>
        <w:pStyle w:val="ListParagraph"/>
        <w:numPr>
          <w:ilvl w:val="1"/>
          <w:numId w:val="21"/>
        </w:numPr>
        <w:ind w:left="1080" w:right="0"/>
      </w:pPr>
      <w:r w:rsidRPr="00C0246E">
        <w:t xml:space="preserve">Member is 18 years of age or older and meets </w:t>
      </w:r>
      <w:r w:rsidR="0076392F">
        <w:t>either</w:t>
      </w:r>
      <w:r w:rsidR="0076392F" w:rsidRPr="00C0246E">
        <w:t xml:space="preserve"> </w:t>
      </w:r>
      <w:r w:rsidRPr="00C0246E">
        <w:t>of the following:</w:t>
      </w:r>
    </w:p>
    <w:p w14:paraId="44911222" w14:textId="4567393E" w:rsidR="0086682D" w:rsidRPr="00C0246E" w:rsidRDefault="0086682D" w:rsidP="0081692B">
      <w:pPr>
        <w:pStyle w:val="ListParagraph"/>
        <w:numPr>
          <w:ilvl w:val="2"/>
          <w:numId w:val="21"/>
        </w:numPr>
        <w:ind w:left="1443" w:right="0"/>
      </w:pPr>
      <w:r w:rsidRPr="00C0246E">
        <w:t xml:space="preserve">The member has experienced an inadequate </w:t>
      </w:r>
      <w:r w:rsidR="00A26507">
        <w:t xml:space="preserve">treatment </w:t>
      </w:r>
      <w:r w:rsidRPr="00C0246E">
        <w:t>response or intolerance to modafinil or armodafinil.</w:t>
      </w:r>
    </w:p>
    <w:p w14:paraId="0C7173F4" w14:textId="528E518B" w:rsidR="0086682D" w:rsidRPr="00C0246E" w:rsidRDefault="0086682D" w:rsidP="0081692B">
      <w:pPr>
        <w:pStyle w:val="ListParagraph"/>
        <w:numPr>
          <w:ilvl w:val="2"/>
          <w:numId w:val="21"/>
        </w:numPr>
        <w:ind w:left="1443"/>
      </w:pPr>
      <w:r w:rsidRPr="00C0246E">
        <w:t>The member has a contraindication to both modafinil and armodafinil.</w:t>
      </w:r>
    </w:p>
    <w:p w14:paraId="1EECBC60" w14:textId="2964DD1A" w:rsidR="0086682D" w:rsidRPr="00015A60" w:rsidRDefault="0086682D" w:rsidP="0086682D">
      <w:pPr>
        <w:pStyle w:val="Heading3"/>
        <w:rPr>
          <w:vertAlign w:val="superscript"/>
        </w:rPr>
      </w:pPr>
      <w:r w:rsidRPr="00C0246E">
        <w:t>Cataplexy with Narcolepsy</w:t>
      </w:r>
      <w:r w:rsidR="00C91BB4">
        <w:rPr>
          <w:vertAlign w:val="superscript"/>
        </w:rPr>
        <w:t>1-6,1</w:t>
      </w:r>
      <w:r w:rsidR="00EB02F8">
        <w:rPr>
          <w:vertAlign w:val="superscript"/>
        </w:rPr>
        <w:t>0</w:t>
      </w:r>
    </w:p>
    <w:p w14:paraId="7B037A53" w14:textId="4EFFE5CA" w:rsidR="0086682D" w:rsidRPr="00C0246E" w:rsidRDefault="0086682D" w:rsidP="00015A60">
      <w:pPr>
        <w:pStyle w:val="BodyText"/>
      </w:pPr>
      <w:r w:rsidRPr="00C0246E">
        <w:t>Authorization of 12 months</w:t>
      </w:r>
      <w:r w:rsidR="004535C3">
        <w:t xml:space="preserve"> </w:t>
      </w:r>
      <w:r w:rsidRPr="00C0246E">
        <w:t>may be granted for treatment of cataplexy with narcolepsy when all of the following criteria are met:</w:t>
      </w:r>
    </w:p>
    <w:p w14:paraId="4F78BEFB" w14:textId="46FFEBD9" w:rsidR="0086682D" w:rsidRPr="00C0246E" w:rsidRDefault="0086682D" w:rsidP="00015A60">
      <w:pPr>
        <w:pStyle w:val="ListParagraph"/>
      </w:pPr>
      <w:r w:rsidRPr="00C0246E">
        <w:t xml:space="preserve">The member is 7 years </w:t>
      </w:r>
      <w:r w:rsidR="0011597D">
        <w:t xml:space="preserve">of age </w:t>
      </w:r>
      <w:r w:rsidRPr="00C0246E">
        <w:t>or older.</w:t>
      </w:r>
    </w:p>
    <w:p w14:paraId="664394B3" w14:textId="74CCFE12" w:rsidR="0086682D" w:rsidRPr="00C0246E" w:rsidRDefault="0086682D" w:rsidP="00015A60">
      <w:pPr>
        <w:pStyle w:val="ListParagraph"/>
      </w:pPr>
      <w:r w:rsidRPr="00C0246E">
        <w:t>The diagnosis of narcolepsy is confirmed by a sleep lab evaluation.</w:t>
      </w:r>
    </w:p>
    <w:p w14:paraId="23B09F47" w14:textId="657CBB5C" w:rsidR="00D6651C" w:rsidRPr="00015A60" w:rsidRDefault="0086682D" w:rsidP="00015A60">
      <w:pPr>
        <w:pStyle w:val="ListParagraph"/>
      </w:pPr>
      <w:r w:rsidRPr="00C0246E">
        <w:t xml:space="preserve">The member has a baseline history of at least </w:t>
      </w:r>
      <w:r w:rsidR="00C2303F">
        <w:t>3</w:t>
      </w:r>
      <w:r w:rsidR="00C2303F" w:rsidRPr="00C0246E">
        <w:t xml:space="preserve"> </w:t>
      </w:r>
      <w:r w:rsidRPr="00C0246E">
        <w:t xml:space="preserve">cataplexy attacks </w:t>
      </w:r>
      <w:r w:rsidR="00C2303F">
        <w:t xml:space="preserve">per </w:t>
      </w:r>
      <w:r w:rsidRPr="00C0246E">
        <w:t>week.</w:t>
      </w:r>
    </w:p>
    <w:p w14:paraId="3A643EC3" w14:textId="79A3E17E" w:rsidR="00A501AC" w:rsidRPr="00C0246E" w:rsidRDefault="00A501AC" w:rsidP="00A501AC">
      <w:pPr>
        <w:pStyle w:val="Heading2"/>
      </w:pPr>
      <w:r w:rsidRPr="00C0246E">
        <w:t>Continuation of Therapy</w:t>
      </w:r>
    </w:p>
    <w:p w14:paraId="119EDC58" w14:textId="531D101F" w:rsidR="00707D47" w:rsidRPr="00015A60" w:rsidRDefault="00707D47" w:rsidP="00707D47">
      <w:pPr>
        <w:pStyle w:val="Heading3"/>
        <w:rPr>
          <w:vertAlign w:val="superscript"/>
        </w:rPr>
      </w:pPr>
      <w:r w:rsidRPr="00C0246E">
        <w:t xml:space="preserve">Excessive Daytime Sleepiness </w:t>
      </w:r>
      <w:r w:rsidR="002C11E4">
        <w:t xml:space="preserve">(EDS) </w:t>
      </w:r>
      <w:r w:rsidRPr="00C0246E">
        <w:t>with Narcolepsy</w:t>
      </w:r>
      <w:r w:rsidR="002E307E">
        <w:rPr>
          <w:vertAlign w:val="superscript"/>
        </w:rPr>
        <w:t>1-5,1</w:t>
      </w:r>
      <w:r w:rsidR="006F4C76">
        <w:rPr>
          <w:vertAlign w:val="superscript"/>
        </w:rPr>
        <w:t>0</w:t>
      </w:r>
    </w:p>
    <w:p w14:paraId="1677CF13" w14:textId="77777777" w:rsidR="00707D47" w:rsidRPr="00C0246E" w:rsidRDefault="00707D47" w:rsidP="00707D47">
      <w:pPr>
        <w:pStyle w:val="BodyText"/>
      </w:pPr>
      <w:r w:rsidRPr="00C0246E">
        <w:t>Authorization of 12 months may be granted for continued treatment of excessive daytime sleepiness (EDS) with narcolepsy when the member has demonstrated beneficial response to treatment as defined by a decrease in daytime sleepiness with narcolepsy from baseline.</w:t>
      </w:r>
    </w:p>
    <w:p w14:paraId="4874C214" w14:textId="13E10F2F" w:rsidR="00707D47" w:rsidRPr="00015A60" w:rsidRDefault="00707D47" w:rsidP="00707D47">
      <w:pPr>
        <w:pStyle w:val="Heading3"/>
        <w:rPr>
          <w:vertAlign w:val="superscript"/>
        </w:rPr>
      </w:pPr>
      <w:r w:rsidRPr="00C0246E">
        <w:t>Cataplexy with Narcolepsy</w:t>
      </w:r>
      <w:r w:rsidR="002E307E">
        <w:rPr>
          <w:vertAlign w:val="superscript"/>
        </w:rPr>
        <w:t>1-6,1</w:t>
      </w:r>
      <w:r w:rsidR="006F4C76">
        <w:rPr>
          <w:vertAlign w:val="superscript"/>
        </w:rPr>
        <w:t>0</w:t>
      </w:r>
    </w:p>
    <w:p w14:paraId="579C4624" w14:textId="42464608" w:rsidR="00707D47" w:rsidRPr="00C0246E" w:rsidRDefault="00707D47" w:rsidP="00D55F27">
      <w:pPr>
        <w:pStyle w:val="BodyText"/>
        <w:spacing w:after="0"/>
      </w:pPr>
      <w:r w:rsidRPr="00C0246E">
        <w:t>Authorization of 12 months may be granted for continued treatment of cataplexy with narcolepsy when the member has demonstrated beneficial response to treatment as defined by a decrease in cataplexy episodes from baseline.</w:t>
      </w:r>
    </w:p>
    <w:p w14:paraId="2B8CD766" w14:textId="77777777" w:rsidR="00065A01" w:rsidRDefault="00065A01" w:rsidP="00065A01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>
        <w:t>Other</w:t>
      </w:r>
    </w:p>
    <w:p w14:paraId="55303BA5" w14:textId="5C7A98AD" w:rsidR="00065A01" w:rsidRPr="009B2B6D" w:rsidRDefault="00065A01" w:rsidP="00065A01">
      <w:pPr>
        <w:pStyle w:val="BodyText"/>
      </w:pPr>
      <w:r w:rsidRPr="009B2B6D">
        <w:t>Per regulatory guidelines</w:t>
      </w:r>
      <w:r>
        <w:t xml:space="preserve"> around behavioral health, step therapy </w:t>
      </w:r>
      <w:r w:rsidRPr="009B2B6D">
        <w:t xml:space="preserve">restrictions may </w:t>
      </w:r>
      <w:r w:rsidR="00A6360F">
        <w:t>vary</w:t>
      </w:r>
      <w:r w:rsidRPr="009B2B6D">
        <w:t>.</w:t>
      </w:r>
    </w:p>
    <w:p w14:paraId="17409917" w14:textId="3C1E7320" w:rsidR="00C96B3F" w:rsidRPr="00C0246E" w:rsidRDefault="00C96B3F" w:rsidP="00D55F27">
      <w:pPr>
        <w:pStyle w:val="Heading2"/>
        <w:keepNext w:val="0"/>
        <w:keepLines/>
        <w:tabs>
          <w:tab w:val="clear" w:pos="2880"/>
          <w:tab w:val="left" w:pos="9015"/>
        </w:tabs>
      </w:pPr>
      <w:r w:rsidRPr="00C0246E">
        <w:t>References</w:t>
      </w:r>
    </w:p>
    <w:p w14:paraId="62A4466F" w14:textId="3C10391E" w:rsidR="00707D47" w:rsidRPr="00C0246E" w:rsidRDefault="00A841F8" w:rsidP="00D55F27">
      <w:pPr>
        <w:pStyle w:val="ReferenceOrdered"/>
        <w:keepNext w:val="0"/>
      </w:pPr>
      <w:r>
        <w:t>Lumryz</w:t>
      </w:r>
      <w:r w:rsidRPr="00C0246E">
        <w:t xml:space="preserve"> </w:t>
      </w:r>
      <w:r w:rsidR="00707D47" w:rsidRPr="00C0246E">
        <w:t xml:space="preserve">[package insert]. </w:t>
      </w:r>
      <w:r w:rsidR="00792694">
        <w:t>Chesterfield, MO: Ayadel CNS</w:t>
      </w:r>
      <w:r w:rsidR="00707D47" w:rsidRPr="00C0246E">
        <w:t xml:space="preserve"> Pharmaceuticals, </w:t>
      </w:r>
      <w:r w:rsidR="009B1F7D">
        <w:t>LLC</w:t>
      </w:r>
      <w:r w:rsidR="00552ED2">
        <w:t>.</w:t>
      </w:r>
      <w:r w:rsidR="00192421">
        <w:t>;</w:t>
      </w:r>
      <w:r w:rsidR="00845054">
        <w:t xml:space="preserve"> October</w:t>
      </w:r>
      <w:r w:rsidR="00707D47" w:rsidRPr="00C0246E">
        <w:t xml:space="preserve"> 202</w:t>
      </w:r>
      <w:r w:rsidR="00845054">
        <w:t>4</w:t>
      </w:r>
      <w:r w:rsidR="00707D47" w:rsidRPr="00C0246E">
        <w:t>.</w:t>
      </w:r>
    </w:p>
    <w:p w14:paraId="634A7577" w14:textId="556C12D5" w:rsidR="0085473B" w:rsidRDefault="0085473B" w:rsidP="00D55F27">
      <w:pPr>
        <w:pStyle w:val="ReferenceOrdered"/>
        <w:keepNext w:val="0"/>
      </w:pPr>
      <w:r w:rsidRPr="0085473B">
        <w:t>Nuvigil [package insert]. Parsippany, NJ: Teva Pharmaceuticals; December 2022</w:t>
      </w:r>
      <w:r>
        <w:t>.</w:t>
      </w:r>
    </w:p>
    <w:p w14:paraId="7A3103E6" w14:textId="6986FFD5" w:rsidR="0085473B" w:rsidRDefault="000A75F7" w:rsidP="00D55F27">
      <w:pPr>
        <w:pStyle w:val="ReferenceOrdered"/>
        <w:keepNext w:val="0"/>
      </w:pPr>
      <w:r w:rsidRPr="000A75F7">
        <w:t xml:space="preserve">Provigil [package insert]. Parsippany, NJ: Teva Pharmaceuticals.; </w:t>
      </w:r>
      <w:r w:rsidR="005666D1">
        <w:t>December 2022</w:t>
      </w:r>
      <w:r>
        <w:t>.</w:t>
      </w:r>
    </w:p>
    <w:p w14:paraId="532EFEC5" w14:textId="49D74A4E" w:rsidR="00707D47" w:rsidRPr="00C0246E" w:rsidRDefault="00707D47" w:rsidP="00D55F27">
      <w:pPr>
        <w:pStyle w:val="ReferenceOrdered"/>
        <w:keepNext w:val="0"/>
      </w:pPr>
      <w:r w:rsidRPr="00C0246E">
        <w:t xml:space="preserve">Sodium oxybate [package insert]. Berkeley Heights, NJ: Hikma Pharmaceuticals USA Inc.; April 2023. </w:t>
      </w:r>
    </w:p>
    <w:p w14:paraId="4CF09B5D" w14:textId="21F87B48" w:rsidR="00707D47" w:rsidRPr="00C0246E" w:rsidRDefault="000A75F7" w:rsidP="00D55F27">
      <w:pPr>
        <w:pStyle w:val="ReferenceOrdered"/>
        <w:keepNext w:val="0"/>
      </w:pPr>
      <w:r>
        <w:t>Xyrem</w:t>
      </w:r>
      <w:r w:rsidRPr="00C0246E">
        <w:t xml:space="preserve"> </w:t>
      </w:r>
      <w:r w:rsidR="00707D47" w:rsidRPr="00C0246E">
        <w:t xml:space="preserve">[package insert]. </w:t>
      </w:r>
      <w:r>
        <w:t>Pal</w:t>
      </w:r>
      <w:r w:rsidR="00E20A75">
        <w:t>o Alto, CA:</w:t>
      </w:r>
      <w:r w:rsidR="009A3A0C">
        <w:t xml:space="preserve"> </w:t>
      </w:r>
      <w:r w:rsidR="00E20A75">
        <w:t>Jazz</w:t>
      </w:r>
      <w:r w:rsidR="00707D47" w:rsidRPr="00C0246E">
        <w:t xml:space="preserve"> Pharmaceuticals, </w:t>
      </w:r>
      <w:r w:rsidR="00E20A75">
        <w:t>Inc.;</w:t>
      </w:r>
      <w:r w:rsidR="00552ED2">
        <w:t xml:space="preserve"> April</w:t>
      </w:r>
      <w:r w:rsidR="00707D47" w:rsidRPr="00C0246E">
        <w:t xml:space="preserve"> 2023.</w:t>
      </w:r>
    </w:p>
    <w:p w14:paraId="458529C8" w14:textId="5B1B3EB0" w:rsidR="00707D47" w:rsidRPr="00C0246E" w:rsidRDefault="00707D47" w:rsidP="00D55F27">
      <w:pPr>
        <w:pStyle w:val="ReferenceOrdered"/>
        <w:keepNext w:val="0"/>
      </w:pPr>
      <w:r w:rsidRPr="00C0246E">
        <w:t xml:space="preserve">Micromedex (electronic version). Truven Health Analytics, Greenwood Village, Colorado, USA. http://www.micromedexsolutions.com/. Accessed </w:t>
      </w:r>
      <w:r w:rsidR="009A3A0C">
        <w:t>December 5</w:t>
      </w:r>
      <w:r w:rsidRPr="00C0246E">
        <w:t>, 202</w:t>
      </w:r>
      <w:r w:rsidR="00845054">
        <w:t>4</w:t>
      </w:r>
      <w:r w:rsidRPr="00C0246E">
        <w:t>.</w:t>
      </w:r>
    </w:p>
    <w:p w14:paraId="20A0C62F" w14:textId="701516D3" w:rsidR="00707D47" w:rsidRPr="00C0246E" w:rsidRDefault="00707D47" w:rsidP="00D55F27">
      <w:pPr>
        <w:pStyle w:val="ReferenceOrdered"/>
        <w:keepNext w:val="0"/>
      </w:pPr>
      <w:r w:rsidRPr="00C0246E">
        <w:rPr>
          <w:lang w:val="nb-NO"/>
        </w:rPr>
        <w:t xml:space="preserve">Morgenthaler TI, Vishesh KK, Brown T, et al. </w:t>
      </w:r>
      <w:r w:rsidRPr="00C0246E">
        <w:t>Practice Parameters for the Treatment of Narcolepsy and Other Hypersomnias of Central Origin. Sleep 2007; 30(12):1705-11.</w:t>
      </w:r>
    </w:p>
    <w:p w14:paraId="52DFBB76" w14:textId="2611203D" w:rsidR="00707D47" w:rsidRPr="00C0246E" w:rsidRDefault="00707D47" w:rsidP="00D55F27">
      <w:pPr>
        <w:pStyle w:val="ReferenceOrdered"/>
        <w:keepNext w:val="0"/>
      </w:pPr>
      <w:r w:rsidRPr="00C0246E">
        <w:t>American Academy of Sleep Medicine. International Classification of Sleep Disorders: Diagnostic and Coding Manual. 3rd edition. Westchester, IL: American Academy of Sleep Medicine; 2014.</w:t>
      </w:r>
    </w:p>
    <w:p w14:paraId="2F634966" w14:textId="77777777" w:rsidR="00506C3C" w:rsidRDefault="00707D47" w:rsidP="00D937E4">
      <w:pPr>
        <w:pStyle w:val="ReferenceOrdered"/>
        <w:keepNext w:val="0"/>
      </w:pPr>
      <w:r w:rsidRPr="00506C3C">
        <w:rPr>
          <w:lang w:val="nb-NO"/>
        </w:rPr>
        <w:t xml:space="preserve">Krahn, L, Hershner S, et al. </w:t>
      </w:r>
      <w:r w:rsidRPr="00C0246E">
        <w:t>Quality Measures for the Care of Patients with Narcolepsy; Journal of Clinical Sleep Medicine; 2015; 11(3): 335-55.</w:t>
      </w:r>
    </w:p>
    <w:p w14:paraId="79388A65" w14:textId="2085282F" w:rsidR="00AE414E" w:rsidRDefault="00707D47" w:rsidP="00D937E4">
      <w:pPr>
        <w:pStyle w:val="ReferenceOrdered"/>
        <w:keepNext w:val="0"/>
      </w:pPr>
      <w:r w:rsidRPr="00C0246E">
        <w:t>Maski K, Trotti LM, Kotagal S, Auger RR, et al. Treatment of central disorders of hypersomnolence: an American Academy of Sleep Medicine clinical practice guideline. J Clin Sleep Med. Published online September 1, 2021.</w:t>
      </w:r>
    </w:p>
    <w:sectPr w:rsidR="00AE414E" w:rsidSect="00015A60">
      <w:headerReference w:type="default" r:id="rId12"/>
      <w:footerReference w:type="default" r:id="rId13"/>
      <w:footerReference w:type="first" r:id="rId14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E30A2" w14:textId="77777777" w:rsidR="00E46848" w:rsidRDefault="00E46848">
      <w:r>
        <w:separator/>
      </w:r>
    </w:p>
  </w:endnote>
  <w:endnote w:type="continuationSeparator" w:id="0">
    <w:p w14:paraId="260F33DF" w14:textId="77777777" w:rsidR="00E46848" w:rsidRDefault="00E46848">
      <w:r>
        <w:continuationSeparator/>
      </w:r>
    </w:p>
  </w:endnote>
  <w:endnote w:type="continuationNotice" w:id="1">
    <w:p w14:paraId="7FEC8466" w14:textId="77777777" w:rsidR="00E46848" w:rsidRDefault="00E46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E8DDA" w14:textId="67FE5302" w:rsidR="00C72828" w:rsidRPr="00EC47B6" w:rsidRDefault="00C72828" w:rsidP="00C7282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A64DE">
      <w:rPr>
        <w:rFonts w:cs="Arial"/>
        <w:noProof/>
        <w:snapToGrid w:val="0"/>
        <w:color w:val="000000"/>
        <w:sz w:val="16"/>
        <w:szCs w:val="16"/>
      </w:rPr>
      <w:t>sodium oxybate-Lumryz-Xyrem SGM 3677-A, 6975-A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44D4CED1" w14:textId="77777777" w:rsidR="00C72828" w:rsidRPr="00EC47B6" w:rsidRDefault="00C72828" w:rsidP="00C7282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30F13F9" w14:textId="77777777" w:rsidR="00C72828" w:rsidRPr="00F50D98" w:rsidRDefault="00C72828" w:rsidP="00C7282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2F8E" w14:textId="3A5AE5C4" w:rsidR="00DF3342" w:rsidRPr="00EC47B6" w:rsidRDefault="00DF3342" w:rsidP="00DF334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A64DE">
      <w:rPr>
        <w:rFonts w:cs="Arial"/>
        <w:noProof/>
        <w:snapToGrid w:val="0"/>
        <w:color w:val="000000"/>
        <w:sz w:val="16"/>
        <w:szCs w:val="16"/>
      </w:rPr>
      <w:t>sodium oxybate-Lumryz-Xyrem SGM 3677-A, 6975-A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4067480E" w14:textId="77777777" w:rsidR="00DF3342" w:rsidRPr="00EC47B6" w:rsidRDefault="00DF3342" w:rsidP="00DF334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5442976" w14:textId="77777777" w:rsidR="00DF3342" w:rsidRPr="00F50D98" w:rsidRDefault="00DF3342" w:rsidP="00DF334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054CB" w14:textId="77777777" w:rsidR="00E46848" w:rsidRDefault="00E46848">
      <w:r>
        <w:separator/>
      </w:r>
    </w:p>
  </w:footnote>
  <w:footnote w:type="continuationSeparator" w:id="0">
    <w:p w14:paraId="3B9BF92B" w14:textId="77777777" w:rsidR="00E46848" w:rsidRDefault="00E46848">
      <w:r>
        <w:continuationSeparator/>
      </w:r>
    </w:p>
  </w:footnote>
  <w:footnote w:type="continuationNotice" w:id="1">
    <w:p w14:paraId="06890ECC" w14:textId="77777777" w:rsidR="00E46848" w:rsidRDefault="00E468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734EC" w:rsidRPr="00C0246E" w14:paraId="55A93105" w14:textId="77777777" w:rsidTr="006E7747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54C99D6D" w14:textId="77777777" w:rsidR="004734EC" w:rsidRPr="00C0246E" w:rsidRDefault="004734EC" w:rsidP="00ED126B">
          <w:pPr>
            <w:pStyle w:val="Header"/>
            <w:rPr>
              <w:rFonts w:cs="Arial"/>
              <w:sz w:val="16"/>
              <w:szCs w:val="16"/>
            </w:rPr>
          </w:pPr>
          <w:r w:rsidRPr="00C0246E">
            <w:rPr>
              <w:rFonts w:cs="Arial"/>
              <w:sz w:val="16"/>
              <w:szCs w:val="16"/>
            </w:rPr>
            <w:t>Reference number(s)</w:t>
          </w:r>
        </w:p>
      </w:tc>
    </w:tr>
    <w:tr w:rsidR="004734EC" w:rsidRPr="00C0246E" w14:paraId="2CB199A3" w14:textId="77777777" w:rsidTr="006E7747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6CA5F29" w14:textId="71C757FB" w:rsidR="004734EC" w:rsidRPr="00C0246E" w:rsidRDefault="004734EC" w:rsidP="00ED126B">
          <w:pPr>
            <w:pStyle w:val="Header"/>
            <w:rPr>
              <w:rFonts w:cs="Arial"/>
              <w:sz w:val="16"/>
              <w:szCs w:val="16"/>
            </w:rPr>
          </w:pPr>
          <w:r w:rsidRPr="00C0246E">
            <w:rPr>
              <w:rFonts w:cs="Arial"/>
              <w:sz w:val="16"/>
              <w:szCs w:val="16"/>
            </w:rPr>
            <w:t>3677-A</w:t>
          </w:r>
          <w:r w:rsidR="004E6B78">
            <w:rPr>
              <w:rFonts w:cs="Arial"/>
              <w:sz w:val="16"/>
              <w:szCs w:val="16"/>
            </w:rPr>
            <w:t>, 6975-A</w:t>
          </w:r>
        </w:p>
      </w:tc>
    </w:tr>
  </w:tbl>
  <w:p w14:paraId="345FD1B7" w14:textId="77777777" w:rsidR="004734EC" w:rsidRPr="00ED126B" w:rsidRDefault="004734EC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3FD4009"/>
    <w:multiLevelType w:val="hybridMultilevel"/>
    <w:tmpl w:val="CD5032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12A2157"/>
    <w:multiLevelType w:val="hybridMultilevel"/>
    <w:tmpl w:val="69B6E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2B6049"/>
    <w:multiLevelType w:val="hybridMultilevel"/>
    <w:tmpl w:val="364A2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0D36FD"/>
    <w:multiLevelType w:val="hybridMultilevel"/>
    <w:tmpl w:val="9DC63D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1CDA7CA1"/>
    <w:multiLevelType w:val="hybridMultilevel"/>
    <w:tmpl w:val="0C904A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EC1FA2"/>
    <w:multiLevelType w:val="hybridMultilevel"/>
    <w:tmpl w:val="27FEAE82"/>
    <w:lvl w:ilvl="0" w:tplc="F752A44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2C263C3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BD737B"/>
    <w:multiLevelType w:val="hybridMultilevel"/>
    <w:tmpl w:val="DB26EEEE"/>
    <w:lvl w:ilvl="0" w:tplc="BBDEEB5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542F2E"/>
    <w:multiLevelType w:val="hybridMultilevel"/>
    <w:tmpl w:val="6C3C9930"/>
    <w:lvl w:ilvl="0" w:tplc="4572A6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B6B9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D100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B6CF5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34F0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F29F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6A84A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C06AB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7B0E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3BD2246A"/>
    <w:multiLevelType w:val="hybridMultilevel"/>
    <w:tmpl w:val="D0B2F5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7750CD"/>
    <w:multiLevelType w:val="hybridMultilevel"/>
    <w:tmpl w:val="57864B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333200"/>
    <w:multiLevelType w:val="hybridMultilevel"/>
    <w:tmpl w:val="C61A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8A2934"/>
    <w:multiLevelType w:val="hybridMultilevel"/>
    <w:tmpl w:val="77EC27F2"/>
    <w:lvl w:ilvl="0" w:tplc="E6AE5C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94742D"/>
    <w:multiLevelType w:val="hybridMultilevel"/>
    <w:tmpl w:val="FBA4592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77077"/>
    <w:multiLevelType w:val="hybridMultilevel"/>
    <w:tmpl w:val="344EF3B4"/>
    <w:lvl w:ilvl="0" w:tplc="41884C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E2A0BB3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AA7AC6"/>
    <w:multiLevelType w:val="hybridMultilevel"/>
    <w:tmpl w:val="C0562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49431F"/>
    <w:multiLevelType w:val="hybridMultilevel"/>
    <w:tmpl w:val="283CD7B0"/>
    <w:lvl w:ilvl="0" w:tplc="13A88DB0">
      <w:start w:val="9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55207F"/>
    <w:multiLevelType w:val="hybridMultilevel"/>
    <w:tmpl w:val="259ADCAE"/>
    <w:lvl w:ilvl="0" w:tplc="AC666496">
      <w:start w:val="9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7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2"/>
  </w:num>
  <w:num w:numId="16" w16cid:durableId="898320195">
    <w:abstractNumId w:val="24"/>
  </w:num>
  <w:num w:numId="17" w16cid:durableId="2128498676">
    <w:abstractNumId w:val="41"/>
  </w:num>
  <w:num w:numId="18" w16cid:durableId="299724409">
    <w:abstractNumId w:val="34"/>
  </w:num>
  <w:num w:numId="19" w16cid:durableId="214585573">
    <w:abstractNumId w:val="18"/>
  </w:num>
  <w:num w:numId="20" w16cid:durableId="1289816170">
    <w:abstractNumId w:val="20"/>
  </w:num>
  <w:num w:numId="21" w16cid:durableId="1066490929">
    <w:abstractNumId w:val="42"/>
  </w:num>
  <w:num w:numId="22" w16cid:durableId="1472481103">
    <w:abstractNumId w:val="36"/>
  </w:num>
  <w:num w:numId="23" w16cid:durableId="1997420403">
    <w:abstractNumId w:val="39"/>
  </w:num>
  <w:num w:numId="24" w16cid:durableId="33312838">
    <w:abstractNumId w:val="35"/>
  </w:num>
  <w:num w:numId="25" w16cid:durableId="507404939">
    <w:abstractNumId w:val="23"/>
  </w:num>
  <w:num w:numId="26" w16cid:durableId="1730226360">
    <w:abstractNumId w:val="33"/>
  </w:num>
  <w:num w:numId="27" w16cid:durableId="1251770295">
    <w:abstractNumId w:val="22"/>
  </w:num>
  <w:num w:numId="28" w16cid:durableId="987395396">
    <w:abstractNumId w:val="15"/>
  </w:num>
  <w:num w:numId="29" w16cid:durableId="1254049232">
    <w:abstractNumId w:val="21"/>
  </w:num>
  <w:num w:numId="30" w16cid:durableId="412704805">
    <w:abstractNumId w:val="27"/>
  </w:num>
  <w:num w:numId="31" w16cid:durableId="980113525">
    <w:abstractNumId w:val="28"/>
  </w:num>
  <w:num w:numId="32" w16cid:durableId="274944031">
    <w:abstractNumId w:val="29"/>
  </w:num>
  <w:num w:numId="33" w16cid:durableId="312416527">
    <w:abstractNumId w:val="16"/>
  </w:num>
  <w:num w:numId="34" w16cid:durableId="2019506513">
    <w:abstractNumId w:val="32"/>
  </w:num>
  <w:num w:numId="35" w16cid:durableId="25496396">
    <w:abstractNumId w:val="38"/>
  </w:num>
  <w:num w:numId="36" w16cid:durableId="1669284102">
    <w:abstractNumId w:val="40"/>
  </w:num>
  <w:num w:numId="37" w16cid:durableId="1329095848">
    <w:abstractNumId w:val="17"/>
  </w:num>
  <w:num w:numId="38" w16cid:durableId="798452942">
    <w:abstractNumId w:val="26"/>
  </w:num>
  <w:num w:numId="39" w16cid:durableId="1794245122">
    <w:abstractNumId w:val="42"/>
  </w:num>
  <w:num w:numId="40" w16cid:durableId="1237208766">
    <w:abstractNumId w:val="10"/>
  </w:num>
  <w:num w:numId="41" w16cid:durableId="885916107">
    <w:abstractNumId w:val="11"/>
  </w:num>
  <w:num w:numId="42" w16cid:durableId="1574124907">
    <w:abstractNumId w:val="30"/>
  </w:num>
  <w:num w:numId="43" w16cid:durableId="5135968">
    <w:abstractNumId w:val="37"/>
    <w:lvlOverride w:ilvl="0">
      <w:startOverride w:val="1"/>
    </w:lvlOverride>
  </w:num>
  <w:num w:numId="44" w16cid:durableId="1759062018">
    <w:abstractNumId w:val="19"/>
  </w:num>
  <w:num w:numId="45" w16cid:durableId="890651267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60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5F5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745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040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01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11B"/>
    <w:rsid w:val="00076FED"/>
    <w:rsid w:val="000771F0"/>
    <w:rsid w:val="00077C0D"/>
    <w:rsid w:val="00080866"/>
    <w:rsid w:val="00081951"/>
    <w:rsid w:val="00081990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2671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5F7"/>
    <w:rsid w:val="000A7D51"/>
    <w:rsid w:val="000B027D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2B47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6E"/>
    <w:rsid w:val="000D44C7"/>
    <w:rsid w:val="000D454D"/>
    <w:rsid w:val="000D4EA4"/>
    <w:rsid w:val="000D5101"/>
    <w:rsid w:val="000D5978"/>
    <w:rsid w:val="000D5D4B"/>
    <w:rsid w:val="000E095D"/>
    <w:rsid w:val="000E0C62"/>
    <w:rsid w:val="000E13E5"/>
    <w:rsid w:val="000E24FA"/>
    <w:rsid w:val="000E2ECC"/>
    <w:rsid w:val="000E317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B3E"/>
    <w:rsid w:val="000F3023"/>
    <w:rsid w:val="000F41E3"/>
    <w:rsid w:val="000F4745"/>
    <w:rsid w:val="000F4FB7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7D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CB9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1C16"/>
    <w:rsid w:val="00162951"/>
    <w:rsid w:val="001630B4"/>
    <w:rsid w:val="0016315A"/>
    <w:rsid w:val="0016434B"/>
    <w:rsid w:val="00165258"/>
    <w:rsid w:val="00165670"/>
    <w:rsid w:val="00165A99"/>
    <w:rsid w:val="001675AA"/>
    <w:rsid w:val="00170325"/>
    <w:rsid w:val="00172200"/>
    <w:rsid w:val="00173621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3DD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421"/>
    <w:rsid w:val="00192769"/>
    <w:rsid w:val="001933EE"/>
    <w:rsid w:val="00193696"/>
    <w:rsid w:val="001944B7"/>
    <w:rsid w:val="00194E56"/>
    <w:rsid w:val="0019558E"/>
    <w:rsid w:val="0019677F"/>
    <w:rsid w:val="0019733B"/>
    <w:rsid w:val="00197771"/>
    <w:rsid w:val="0019789A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5846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3D0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2F6"/>
    <w:rsid w:val="00211DE1"/>
    <w:rsid w:val="00212062"/>
    <w:rsid w:val="00213310"/>
    <w:rsid w:val="002134FD"/>
    <w:rsid w:val="002140F4"/>
    <w:rsid w:val="0021437E"/>
    <w:rsid w:val="0021440B"/>
    <w:rsid w:val="0021446F"/>
    <w:rsid w:val="002148A2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044C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415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258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6AB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4DE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1E4"/>
    <w:rsid w:val="002C1498"/>
    <w:rsid w:val="002C1864"/>
    <w:rsid w:val="002C20ED"/>
    <w:rsid w:val="002C36C0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07E"/>
    <w:rsid w:val="002E362E"/>
    <w:rsid w:val="002E3C61"/>
    <w:rsid w:val="002E3D87"/>
    <w:rsid w:val="002E5C63"/>
    <w:rsid w:val="002E6AE1"/>
    <w:rsid w:val="002E7264"/>
    <w:rsid w:val="002F1388"/>
    <w:rsid w:val="002F1925"/>
    <w:rsid w:val="002F23BB"/>
    <w:rsid w:val="002F2FA8"/>
    <w:rsid w:val="002F311C"/>
    <w:rsid w:val="002F335A"/>
    <w:rsid w:val="002F5F01"/>
    <w:rsid w:val="002F6300"/>
    <w:rsid w:val="002F7141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AE6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7CC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5E8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BF2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A54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00C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26C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5C3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34EC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382E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1DC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B78"/>
    <w:rsid w:val="004E6C9B"/>
    <w:rsid w:val="004E6FA5"/>
    <w:rsid w:val="004E7D61"/>
    <w:rsid w:val="004F0A1D"/>
    <w:rsid w:val="004F1A5E"/>
    <w:rsid w:val="004F2E2A"/>
    <w:rsid w:val="004F3134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4CF"/>
    <w:rsid w:val="00504A89"/>
    <w:rsid w:val="00504AA5"/>
    <w:rsid w:val="00504B53"/>
    <w:rsid w:val="0050562E"/>
    <w:rsid w:val="005057A5"/>
    <w:rsid w:val="00505BEF"/>
    <w:rsid w:val="0050618F"/>
    <w:rsid w:val="00506C3C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442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2D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ECB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5FBA"/>
    <w:rsid w:val="005462B1"/>
    <w:rsid w:val="00546DB0"/>
    <w:rsid w:val="0054721E"/>
    <w:rsid w:val="00547DC8"/>
    <w:rsid w:val="00552A6C"/>
    <w:rsid w:val="00552AD2"/>
    <w:rsid w:val="00552ED2"/>
    <w:rsid w:val="005539ED"/>
    <w:rsid w:val="00553C00"/>
    <w:rsid w:val="00554C8D"/>
    <w:rsid w:val="005553FE"/>
    <w:rsid w:val="00555482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2B6"/>
    <w:rsid w:val="005648F5"/>
    <w:rsid w:val="00564B99"/>
    <w:rsid w:val="00564D4C"/>
    <w:rsid w:val="00564E51"/>
    <w:rsid w:val="00565367"/>
    <w:rsid w:val="00565A82"/>
    <w:rsid w:val="00565D50"/>
    <w:rsid w:val="00566202"/>
    <w:rsid w:val="005666D1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0F0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2B87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391F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633"/>
    <w:rsid w:val="005C6812"/>
    <w:rsid w:val="005C6D2C"/>
    <w:rsid w:val="005C778C"/>
    <w:rsid w:val="005C7B41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87A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6F4A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9E0"/>
    <w:rsid w:val="00645B20"/>
    <w:rsid w:val="00645D4F"/>
    <w:rsid w:val="00647646"/>
    <w:rsid w:val="0065036F"/>
    <w:rsid w:val="00650ADD"/>
    <w:rsid w:val="00651CAA"/>
    <w:rsid w:val="00652357"/>
    <w:rsid w:val="006525F5"/>
    <w:rsid w:val="006529C3"/>
    <w:rsid w:val="00652D56"/>
    <w:rsid w:val="00653B49"/>
    <w:rsid w:val="0065581E"/>
    <w:rsid w:val="00655AEE"/>
    <w:rsid w:val="0065738F"/>
    <w:rsid w:val="006579C9"/>
    <w:rsid w:val="00657EB3"/>
    <w:rsid w:val="006601B8"/>
    <w:rsid w:val="00660200"/>
    <w:rsid w:val="00660683"/>
    <w:rsid w:val="00660EDA"/>
    <w:rsid w:val="00660FCF"/>
    <w:rsid w:val="0066217F"/>
    <w:rsid w:val="00662694"/>
    <w:rsid w:val="00662743"/>
    <w:rsid w:val="0066288D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023D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BF1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3DF"/>
    <w:rsid w:val="006C3252"/>
    <w:rsid w:val="006C48F6"/>
    <w:rsid w:val="006C4B0B"/>
    <w:rsid w:val="006C519A"/>
    <w:rsid w:val="006C52D4"/>
    <w:rsid w:val="006C56BD"/>
    <w:rsid w:val="006C5786"/>
    <w:rsid w:val="006C584B"/>
    <w:rsid w:val="006C7CE1"/>
    <w:rsid w:val="006D00F3"/>
    <w:rsid w:val="006D0FA8"/>
    <w:rsid w:val="006D1263"/>
    <w:rsid w:val="006D139A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561C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4C76"/>
    <w:rsid w:val="006F53D8"/>
    <w:rsid w:val="006F5F82"/>
    <w:rsid w:val="006F6684"/>
    <w:rsid w:val="006F6827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519"/>
    <w:rsid w:val="00703C67"/>
    <w:rsid w:val="00705A25"/>
    <w:rsid w:val="007061F8"/>
    <w:rsid w:val="00706FB2"/>
    <w:rsid w:val="00707218"/>
    <w:rsid w:val="007074F5"/>
    <w:rsid w:val="00707D47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0DB5"/>
    <w:rsid w:val="007622EA"/>
    <w:rsid w:val="007627F6"/>
    <w:rsid w:val="00762AE4"/>
    <w:rsid w:val="00762DDD"/>
    <w:rsid w:val="0076392F"/>
    <w:rsid w:val="0076417D"/>
    <w:rsid w:val="00765529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205"/>
    <w:rsid w:val="007876BF"/>
    <w:rsid w:val="00787FE9"/>
    <w:rsid w:val="007908C6"/>
    <w:rsid w:val="007912A7"/>
    <w:rsid w:val="00792694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B6C"/>
    <w:rsid w:val="007A5CEC"/>
    <w:rsid w:val="007A61F8"/>
    <w:rsid w:val="007A6E40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7D7"/>
    <w:rsid w:val="007C29E1"/>
    <w:rsid w:val="007C2CEC"/>
    <w:rsid w:val="007C3391"/>
    <w:rsid w:val="007C4D57"/>
    <w:rsid w:val="007C4F4F"/>
    <w:rsid w:val="007C5719"/>
    <w:rsid w:val="007C57E0"/>
    <w:rsid w:val="007C5812"/>
    <w:rsid w:val="007C5E0D"/>
    <w:rsid w:val="007C70BD"/>
    <w:rsid w:val="007C74F4"/>
    <w:rsid w:val="007D151B"/>
    <w:rsid w:val="007D1C72"/>
    <w:rsid w:val="007D1E64"/>
    <w:rsid w:val="007D223D"/>
    <w:rsid w:val="007D2E21"/>
    <w:rsid w:val="007D3BE5"/>
    <w:rsid w:val="007D5505"/>
    <w:rsid w:val="007D5B5D"/>
    <w:rsid w:val="007D68CB"/>
    <w:rsid w:val="007D73F2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7F6E71"/>
    <w:rsid w:val="00801D9D"/>
    <w:rsid w:val="00801FD8"/>
    <w:rsid w:val="00802917"/>
    <w:rsid w:val="00802E1E"/>
    <w:rsid w:val="00804124"/>
    <w:rsid w:val="0080421C"/>
    <w:rsid w:val="00804815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6F1"/>
    <w:rsid w:val="008137C4"/>
    <w:rsid w:val="00813D9B"/>
    <w:rsid w:val="008140EC"/>
    <w:rsid w:val="00814A2D"/>
    <w:rsid w:val="008162E8"/>
    <w:rsid w:val="0081692B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33F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054"/>
    <w:rsid w:val="008465D2"/>
    <w:rsid w:val="00850792"/>
    <w:rsid w:val="00852172"/>
    <w:rsid w:val="0085298F"/>
    <w:rsid w:val="00852FA8"/>
    <w:rsid w:val="00853AF4"/>
    <w:rsid w:val="00853E9B"/>
    <w:rsid w:val="008541E9"/>
    <w:rsid w:val="00854230"/>
    <w:rsid w:val="0085473B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82D"/>
    <w:rsid w:val="00866B5D"/>
    <w:rsid w:val="00866BCA"/>
    <w:rsid w:val="00866CFE"/>
    <w:rsid w:val="008673E7"/>
    <w:rsid w:val="00871B95"/>
    <w:rsid w:val="008728CD"/>
    <w:rsid w:val="00873215"/>
    <w:rsid w:val="008733E5"/>
    <w:rsid w:val="0087374A"/>
    <w:rsid w:val="00873CA8"/>
    <w:rsid w:val="00874174"/>
    <w:rsid w:val="008741C9"/>
    <w:rsid w:val="00874395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75F"/>
    <w:rsid w:val="008C5E4C"/>
    <w:rsid w:val="008D0F23"/>
    <w:rsid w:val="008D1B34"/>
    <w:rsid w:val="008D2B93"/>
    <w:rsid w:val="008D31AD"/>
    <w:rsid w:val="008D3802"/>
    <w:rsid w:val="008D3FBB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8F7DAF"/>
    <w:rsid w:val="0090242B"/>
    <w:rsid w:val="00903866"/>
    <w:rsid w:val="00904FAD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2E60"/>
    <w:rsid w:val="00914B83"/>
    <w:rsid w:val="009159E4"/>
    <w:rsid w:val="009166D3"/>
    <w:rsid w:val="0091691D"/>
    <w:rsid w:val="00916BA8"/>
    <w:rsid w:val="00920C75"/>
    <w:rsid w:val="0092167E"/>
    <w:rsid w:val="00921E32"/>
    <w:rsid w:val="00921E89"/>
    <w:rsid w:val="00922097"/>
    <w:rsid w:val="009220E9"/>
    <w:rsid w:val="00922DD4"/>
    <w:rsid w:val="00922FFA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1A6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2C6B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A0C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1F7D"/>
    <w:rsid w:val="009B35DC"/>
    <w:rsid w:val="009B3740"/>
    <w:rsid w:val="009B579E"/>
    <w:rsid w:val="009B5866"/>
    <w:rsid w:val="009B5A24"/>
    <w:rsid w:val="009B6153"/>
    <w:rsid w:val="009B6874"/>
    <w:rsid w:val="009B7708"/>
    <w:rsid w:val="009C0A23"/>
    <w:rsid w:val="009C2243"/>
    <w:rsid w:val="009C2E32"/>
    <w:rsid w:val="009C3C50"/>
    <w:rsid w:val="009C4703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49BF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433"/>
    <w:rsid w:val="009F672D"/>
    <w:rsid w:val="009F6E2E"/>
    <w:rsid w:val="009F7EA7"/>
    <w:rsid w:val="00A000EF"/>
    <w:rsid w:val="00A00395"/>
    <w:rsid w:val="00A00546"/>
    <w:rsid w:val="00A01B93"/>
    <w:rsid w:val="00A037A5"/>
    <w:rsid w:val="00A03B7C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603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6507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23C8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60F"/>
    <w:rsid w:val="00A655D6"/>
    <w:rsid w:val="00A656CE"/>
    <w:rsid w:val="00A661A9"/>
    <w:rsid w:val="00A66B5B"/>
    <w:rsid w:val="00A66E07"/>
    <w:rsid w:val="00A672B3"/>
    <w:rsid w:val="00A676CB"/>
    <w:rsid w:val="00A67BE5"/>
    <w:rsid w:val="00A703B4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6B3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1F8"/>
    <w:rsid w:val="00A84AD9"/>
    <w:rsid w:val="00A84CB5"/>
    <w:rsid w:val="00A85D18"/>
    <w:rsid w:val="00A8608E"/>
    <w:rsid w:val="00A86211"/>
    <w:rsid w:val="00A86218"/>
    <w:rsid w:val="00A87B90"/>
    <w:rsid w:val="00A87BF7"/>
    <w:rsid w:val="00A9069E"/>
    <w:rsid w:val="00A909CE"/>
    <w:rsid w:val="00A90E46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1CD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6AA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14E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437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5643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F10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27C17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3D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3C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C7B74"/>
    <w:rsid w:val="00BC7EBF"/>
    <w:rsid w:val="00BD07B4"/>
    <w:rsid w:val="00BD1CC1"/>
    <w:rsid w:val="00BD1CDE"/>
    <w:rsid w:val="00BD2A68"/>
    <w:rsid w:val="00BD2E54"/>
    <w:rsid w:val="00BD3F63"/>
    <w:rsid w:val="00BD5061"/>
    <w:rsid w:val="00BD5596"/>
    <w:rsid w:val="00BD589A"/>
    <w:rsid w:val="00BD5D53"/>
    <w:rsid w:val="00BD672B"/>
    <w:rsid w:val="00BD6ED4"/>
    <w:rsid w:val="00BD738D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AD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37"/>
    <w:rsid w:val="00C00D6D"/>
    <w:rsid w:val="00C00DBA"/>
    <w:rsid w:val="00C01BFA"/>
    <w:rsid w:val="00C01C2E"/>
    <w:rsid w:val="00C0246E"/>
    <w:rsid w:val="00C024FD"/>
    <w:rsid w:val="00C02901"/>
    <w:rsid w:val="00C02F81"/>
    <w:rsid w:val="00C03117"/>
    <w:rsid w:val="00C03E2C"/>
    <w:rsid w:val="00C04410"/>
    <w:rsid w:val="00C04991"/>
    <w:rsid w:val="00C04C79"/>
    <w:rsid w:val="00C05AC4"/>
    <w:rsid w:val="00C06306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03F"/>
    <w:rsid w:val="00C23E14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8E"/>
    <w:rsid w:val="00C40AD3"/>
    <w:rsid w:val="00C4102F"/>
    <w:rsid w:val="00C418ED"/>
    <w:rsid w:val="00C41AFE"/>
    <w:rsid w:val="00C41E20"/>
    <w:rsid w:val="00C42A15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29D"/>
    <w:rsid w:val="00C62712"/>
    <w:rsid w:val="00C6319D"/>
    <w:rsid w:val="00C631C5"/>
    <w:rsid w:val="00C6390D"/>
    <w:rsid w:val="00C64534"/>
    <w:rsid w:val="00C64859"/>
    <w:rsid w:val="00C65465"/>
    <w:rsid w:val="00C65502"/>
    <w:rsid w:val="00C66057"/>
    <w:rsid w:val="00C67537"/>
    <w:rsid w:val="00C675EB"/>
    <w:rsid w:val="00C676EA"/>
    <w:rsid w:val="00C700FE"/>
    <w:rsid w:val="00C72424"/>
    <w:rsid w:val="00C72828"/>
    <w:rsid w:val="00C73E8B"/>
    <w:rsid w:val="00C7436F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BB4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A736C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3F4E"/>
    <w:rsid w:val="00CC40AF"/>
    <w:rsid w:val="00CC48BF"/>
    <w:rsid w:val="00CC5112"/>
    <w:rsid w:val="00CC5559"/>
    <w:rsid w:val="00CC5A1F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01B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1A79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EED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5FE"/>
    <w:rsid w:val="00D50BD5"/>
    <w:rsid w:val="00D50C10"/>
    <w:rsid w:val="00D520CD"/>
    <w:rsid w:val="00D5213B"/>
    <w:rsid w:val="00D5238D"/>
    <w:rsid w:val="00D52C45"/>
    <w:rsid w:val="00D5331B"/>
    <w:rsid w:val="00D5579C"/>
    <w:rsid w:val="00D55F27"/>
    <w:rsid w:val="00D56213"/>
    <w:rsid w:val="00D566EA"/>
    <w:rsid w:val="00D56FC3"/>
    <w:rsid w:val="00D578A8"/>
    <w:rsid w:val="00D6162B"/>
    <w:rsid w:val="00D64807"/>
    <w:rsid w:val="00D6549B"/>
    <w:rsid w:val="00D65533"/>
    <w:rsid w:val="00D6651C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6BD"/>
    <w:rsid w:val="00DA29A1"/>
    <w:rsid w:val="00DA2BE1"/>
    <w:rsid w:val="00DA3D4A"/>
    <w:rsid w:val="00DA420D"/>
    <w:rsid w:val="00DA4FAF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3342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A75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7DE"/>
    <w:rsid w:val="00E369D1"/>
    <w:rsid w:val="00E36D92"/>
    <w:rsid w:val="00E36FE9"/>
    <w:rsid w:val="00E3710F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84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3D00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02F8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498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6A5C"/>
    <w:rsid w:val="00EC70C6"/>
    <w:rsid w:val="00EC714B"/>
    <w:rsid w:val="00EC7F26"/>
    <w:rsid w:val="00ED02F9"/>
    <w:rsid w:val="00ED0444"/>
    <w:rsid w:val="00ED04EC"/>
    <w:rsid w:val="00ED052F"/>
    <w:rsid w:val="00ED0E29"/>
    <w:rsid w:val="00ED126B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36F"/>
    <w:rsid w:val="00EE50CE"/>
    <w:rsid w:val="00EE5CD7"/>
    <w:rsid w:val="00EE6B14"/>
    <w:rsid w:val="00EE7482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4A4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997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2AC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478C7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6C7C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44B8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637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83D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0C20"/>
    <w:rsid w:val="00FF2F94"/>
    <w:rsid w:val="00FF35C5"/>
    <w:rsid w:val="00FF37B2"/>
    <w:rsid w:val="00FF530E"/>
    <w:rsid w:val="00FF5C3C"/>
    <w:rsid w:val="00FF7695"/>
    <w:rsid w:val="00FF7CF8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622801"/>
    <w:pPr>
      <w:outlineLvl w:val="3"/>
    </w:pPr>
    <w:rPr>
      <w:b w:val="0"/>
      <w:bCs w:val="0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39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2801"/>
    <w:rPr>
      <w:rFonts w:ascii="CVS Health Sans" w:eastAsiaTheme="majorEastAsia" w:hAnsi="CVS Health Sans" w:cs="Arial"/>
      <w:sz w:val="24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5DFC31-84C0-4DB7-BCE6-FF2B86E14053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sodium oxybate-Lumryz-Xyrem 3677-A SGM P2023a</vt:lpstr>
    </vt:vector>
  </TitlesOfParts>
  <Company>PCS Health Systems</Company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sodium oxybate-Lumryz-Xyrem SGM 3677-A, 6975-A</dc:title>
  <dc:subject/>
  <dc:creator>CVS Caremark</dc:creator>
  <cp:keywords/>
  <cp:lastModifiedBy>Huerta, Linda M</cp:lastModifiedBy>
  <cp:revision>4</cp:revision>
  <cp:lastPrinted>2024-04-05T13:15:00Z</cp:lastPrinted>
  <dcterms:created xsi:type="dcterms:W3CDTF">2025-05-19T17:40:00Z</dcterms:created>
  <dcterms:modified xsi:type="dcterms:W3CDTF">2025-05-19T17:41:00Z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151700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